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D2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pacing w:val="11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11"/>
          <w:sz w:val="32"/>
          <w:szCs w:val="32"/>
          <w:highlight w:val="none"/>
          <w:u w:val="none"/>
          <w:lang w:val="en-US" w:eastAsia="zh-CN"/>
        </w:rPr>
        <w:t>附件：</w:t>
      </w:r>
    </w:p>
    <w:p w14:paraId="33158800">
      <w:pPr>
        <w:pStyle w:val="2"/>
        <w:rPr>
          <w:rFonts w:hint="default"/>
          <w:highlight w:val="none"/>
          <w:lang w:val="en-US" w:eastAsia="zh-CN"/>
        </w:rPr>
      </w:pPr>
    </w:p>
    <w:p w14:paraId="3FF9C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caps w:val="0"/>
          <w:color w:val="auto"/>
          <w:spacing w:val="0"/>
          <w:sz w:val="36"/>
          <w:szCs w:val="36"/>
          <w:highlight w:val="none"/>
          <w:shd w:val="clear" w:color="auto" w:fill="FFFFFF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i w:val="0"/>
          <w:caps w:val="0"/>
          <w:color w:val="auto"/>
          <w:spacing w:val="0"/>
          <w:sz w:val="36"/>
          <w:szCs w:val="36"/>
          <w:highlight w:val="none"/>
          <w:shd w:val="clear" w:color="auto" w:fill="FFFFFF"/>
          <w:lang w:val="en-US" w:eastAsia="zh-CN"/>
        </w:rPr>
        <w:t>成都市新津岷江生态环境产业发展集团有限公司</w:t>
      </w:r>
    </w:p>
    <w:p w14:paraId="6179CFD0">
      <w:pPr>
        <w:pStyle w:val="2"/>
        <w:jc w:val="center"/>
        <w:rPr>
          <w:rFonts w:hint="default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caps w:val="0"/>
          <w:color w:val="auto"/>
          <w:spacing w:val="0"/>
          <w:sz w:val="36"/>
          <w:szCs w:val="36"/>
          <w:highlight w:val="none"/>
          <w:shd w:val="clear" w:color="auto" w:fill="FFFFFF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b w:val="0"/>
          <w:bCs w:val="0"/>
          <w:i w:val="0"/>
          <w:caps w:val="0"/>
          <w:color w:val="auto"/>
          <w:spacing w:val="0"/>
          <w:sz w:val="36"/>
          <w:szCs w:val="36"/>
          <w:highlight w:val="none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caps w:val="0"/>
          <w:color w:val="auto"/>
          <w:spacing w:val="0"/>
          <w:sz w:val="36"/>
          <w:szCs w:val="36"/>
          <w:highlight w:val="none"/>
          <w:shd w:val="clear" w:color="auto" w:fill="FFFFFF"/>
          <w:lang w:val="en-US" w:eastAsia="zh-CN"/>
        </w:rPr>
        <w:t>年公开招聘岗位一览表</w:t>
      </w:r>
    </w:p>
    <w:bookmarkEnd w:id="0"/>
    <w:p w14:paraId="125CD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</w:p>
    <w:tbl>
      <w:tblPr>
        <w:tblStyle w:val="8"/>
        <w:tblW w:w="147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887"/>
        <w:gridCol w:w="1518"/>
        <w:gridCol w:w="806"/>
        <w:gridCol w:w="5074"/>
        <w:gridCol w:w="4166"/>
        <w:gridCol w:w="1063"/>
        <w:gridCol w:w="706"/>
      </w:tblGrid>
      <w:tr w14:paraId="21AE0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509" w:type="dxa"/>
            <w:noWrap w:val="0"/>
            <w:vAlign w:val="center"/>
          </w:tcPr>
          <w:p w14:paraId="69F0FEB9">
            <w:pPr>
              <w:spacing w:line="360" w:lineRule="exact"/>
              <w:jc w:val="center"/>
              <w:rPr>
                <w:rFonts w:ascii="宋体" w:hAnsi="宋体" w:eastAsia="楷体_GB2312" w:cs="Times New Roman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楷体_GB2312" w:cs="Times New Roman"/>
                <w:b/>
                <w:kern w:val="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887" w:type="dxa"/>
            <w:noWrap w:val="0"/>
            <w:vAlign w:val="center"/>
          </w:tcPr>
          <w:p w14:paraId="4D21A47E">
            <w:pPr>
              <w:spacing w:line="360" w:lineRule="exact"/>
              <w:jc w:val="center"/>
              <w:rPr>
                <w:rFonts w:hint="eastAsia" w:ascii="宋体" w:hAnsi="宋体" w:eastAsia="楷体_GB2312" w:cs="Times New Roman"/>
                <w:b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楷体_GB2312" w:cs="Times New Roman"/>
                <w:b/>
                <w:kern w:val="0"/>
                <w:sz w:val="28"/>
                <w:szCs w:val="28"/>
                <w:highlight w:val="none"/>
                <w:lang w:val="en-US" w:eastAsia="zh-CN"/>
              </w:rPr>
              <w:t>用人</w:t>
            </w:r>
          </w:p>
          <w:p w14:paraId="01C46569">
            <w:pPr>
              <w:spacing w:line="360" w:lineRule="exact"/>
              <w:jc w:val="center"/>
              <w:rPr>
                <w:rFonts w:hint="default" w:ascii="宋体" w:hAnsi="宋体" w:eastAsia="楷体_GB2312" w:cs="Times New Roman"/>
                <w:b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楷体_GB2312" w:cs="Times New Roman"/>
                <w:b/>
                <w:kern w:val="0"/>
                <w:sz w:val="28"/>
                <w:szCs w:val="28"/>
                <w:highlight w:val="none"/>
                <w:lang w:val="en-US" w:eastAsia="zh-CN"/>
              </w:rPr>
              <w:t>单位</w:t>
            </w:r>
          </w:p>
        </w:tc>
        <w:tc>
          <w:tcPr>
            <w:tcW w:w="1518" w:type="dxa"/>
            <w:noWrap w:val="0"/>
            <w:vAlign w:val="center"/>
          </w:tcPr>
          <w:p w14:paraId="43F4CFDD">
            <w:pPr>
              <w:spacing w:line="360" w:lineRule="exact"/>
              <w:jc w:val="center"/>
              <w:rPr>
                <w:rFonts w:hint="eastAsia" w:ascii="宋体" w:hAnsi="宋体" w:eastAsia="楷体_GB2312" w:cs="Times New Roman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楷体_GB2312" w:cs="Times New Roman"/>
                <w:b/>
                <w:kern w:val="0"/>
                <w:sz w:val="28"/>
                <w:szCs w:val="28"/>
                <w:highlight w:val="none"/>
                <w:lang w:val="en-US" w:eastAsia="zh-CN"/>
              </w:rPr>
              <w:t>岗位</w:t>
            </w:r>
          </w:p>
        </w:tc>
        <w:tc>
          <w:tcPr>
            <w:tcW w:w="806" w:type="dxa"/>
            <w:noWrap w:val="0"/>
            <w:vAlign w:val="center"/>
          </w:tcPr>
          <w:p w14:paraId="3D9B8F64">
            <w:pPr>
              <w:spacing w:line="360" w:lineRule="exact"/>
              <w:jc w:val="center"/>
              <w:rPr>
                <w:rFonts w:hint="default" w:ascii="宋体" w:hAnsi="宋体" w:eastAsia="楷体_GB2312" w:cs="Times New Roman"/>
                <w:b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楷体_GB2312" w:cs="Times New Roman"/>
                <w:b/>
                <w:kern w:val="0"/>
                <w:sz w:val="28"/>
                <w:szCs w:val="28"/>
                <w:highlight w:val="none"/>
                <w:lang w:val="en-US" w:eastAsia="zh-CN"/>
              </w:rPr>
              <w:t>招聘人数</w:t>
            </w:r>
          </w:p>
        </w:tc>
        <w:tc>
          <w:tcPr>
            <w:tcW w:w="5074" w:type="dxa"/>
            <w:noWrap w:val="0"/>
            <w:vAlign w:val="center"/>
          </w:tcPr>
          <w:p w14:paraId="6001FD88">
            <w:pPr>
              <w:spacing w:line="360" w:lineRule="exact"/>
              <w:jc w:val="center"/>
              <w:rPr>
                <w:rFonts w:hint="default" w:ascii="宋体" w:hAnsi="宋体" w:eastAsia="楷体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楷体_GB2312" w:cs="Times New Roman"/>
                <w:b/>
                <w:kern w:val="0"/>
                <w:sz w:val="28"/>
                <w:szCs w:val="28"/>
                <w:highlight w:val="none"/>
                <w:lang w:val="en-US" w:eastAsia="zh-CN"/>
              </w:rPr>
              <w:t>岗位职责</w:t>
            </w:r>
          </w:p>
        </w:tc>
        <w:tc>
          <w:tcPr>
            <w:tcW w:w="4166" w:type="dxa"/>
            <w:noWrap w:val="0"/>
            <w:vAlign w:val="center"/>
          </w:tcPr>
          <w:p w14:paraId="27B702B1">
            <w:pPr>
              <w:spacing w:line="360" w:lineRule="exact"/>
              <w:jc w:val="center"/>
              <w:rPr>
                <w:rFonts w:hint="default" w:ascii="宋体" w:hAnsi="宋体" w:eastAsia="楷体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楷体_GB2312" w:cs="Times New Roman"/>
                <w:b/>
                <w:kern w:val="0"/>
                <w:sz w:val="28"/>
                <w:szCs w:val="28"/>
                <w:highlight w:val="none"/>
              </w:rPr>
              <w:t>任职</w:t>
            </w:r>
            <w:r>
              <w:rPr>
                <w:rFonts w:hint="eastAsia" w:ascii="宋体" w:hAnsi="宋体" w:eastAsia="楷体_GB2312" w:cs="Times New Roman"/>
                <w:b/>
                <w:kern w:val="0"/>
                <w:sz w:val="28"/>
                <w:szCs w:val="28"/>
                <w:highlight w:val="none"/>
                <w:lang w:val="en-US" w:eastAsia="zh-CN"/>
              </w:rPr>
              <w:t>资格条件</w:t>
            </w:r>
          </w:p>
        </w:tc>
        <w:tc>
          <w:tcPr>
            <w:tcW w:w="1063" w:type="dxa"/>
            <w:noWrap w:val="0"/>
            <w:vAlign w:val="center"/>
          </w:tcPr>
          <w:p w14:paraId="6D64A201">
            <w:pPr>
              <w:spacing w:line="360" w:lineRule="exact"/>
              <w:jc w:val="center"/>
              <w:rPr>
                <w:rFonts w:hint="eastAsia" w:ascii="宋体" w:hAnsi="宋体" w:eastAsia="楷体_GB2312" w:cs="Times New Roman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楷体_GB2312" w:cs="Times New Roman"/>
                <w:b/>
                <w:kern w:val="0"/>
                <w:sz w:val="28"/>
                <w:szCs w:val="28"/>
                <w:highlight w:val="none"/>
              </w:rPr>
              <w:t>薪酬</w:t>
            </w:r>
          </w:p>
          <w:p w14:paraId="35030D2F">
            <w:pPr>
              <w:spacing w:line="360" w:lineRule="exact"/>
              <w:jc w:val="center"/>
              <w:rPr>
                <w:rFonts w:hint="eastAsia" w:eastAsia="楷体_GB231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楷体_GB2312" w:cs="Times New Roman"/>
                <w:b/>
                <w:kern w:val="0"/>
                <w:sz w:val="28"/>
                <w:szCs w:val="28"/>
                <w:highlight w:val="none"/>
                <w:lang w:val="en-US" w:eastAsia="zh-CN"/>
              </w:rPr>
              <w:t>待遇</w:t>
            </w:r>
          </w:p>
        </w:tc>
        <w:tc>
          <w:tcPr>
            <w:tcW w:w="706" w:type="dxa"/>
            <w:noWrap w:val="0"/>
            <w:vAlign w:val="center"/>
          </w:tcPr>
          <w:p w14:paraId="0B18C681">
            <w:pPr>
              <w:spacing w:line="360" w:lineRule="exact"/>
              <w:jc w:val="center"/>
              <w:rPr>
                <w:rFonts w:ascii="宋体" w:hAnsi="宋体" w:eastAsia="楷体_GB2312" w:cs="Times New Roman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楷体_GB2312" w:cs="Times New Roman"/>
                <w:b/>
                <w:kern w:val="0"/>
                <w:sz w:val="28"/>
                <w:szCs w:val="28"/>
                <w:highlight w:val="none"/>
              </w:rPr>
              <w:t>备  注</w:t>
            </w:r>
          </w:p>
        </w:tc>
      </w:tr>
      <w:tr w14:paraId="68553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2" w:hRule="atLeast"/>
          <w:jc w:val="center"/>
        </w:trPr>
        <w:tc>
          <w:tcPr>
            <w:tcW w:w="509" w:type="dxa"/>
            <w:noWrap w:val="0"/>
            <w:vAlign w:val="center"/>
          </w:tcPr>
          <w:p w14:paraId="216C94CB">
            <w:pPr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</w:t>
            </w:r>
          </w:p>
        </w:tc>
        <w:tc>
          <w:tcPr>
            <w:tcW w:w="887" w:type="dxa"/>
            <w:noWrap w:val="0"/>
            <w:vAlign w:val="center"/>
          </w:tcPr>
          <w:p w14:paraId="0BF8E296">
            <w:pPr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岷江产业集团</w:t>
            </w:r>
          </w:p>
        </w:tc>
        <w:tc>
          <w:tcPr>
            <w:tcW w:w="1518" w:type="dxa"/>
            <w:noWrap w:val="0"/>
            <w:vAlign w:val="center"/>
          </w:tcPr>
          <w:p w14:paraId="5DED3FBF">
            <w:pPr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水利工程</w:t>
            </w:r>
          </w:p>
          <w:p w14:paraId="669E74D4">
            <w:pPr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专业技术人员</w:t>
            </w:r>
          </w:p>
        </w:tc>
        <w:tc>
          <w:tcPr>
            <w:tcW w:w="806" w:type="dxa"/>
            <w:noWrap w:val="0"/>
            <w:vAlign w:val="center"/>
          </w:tcPr>
          <w:p w14:paraId="028B6A91">
            <w:pPr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</w:t>
            </w:r>
          </w:p>
        </w:tc>
        <w:tc>
          <w:tcPr>
            <w:tcW w:w="5074" w:type="dxa"/>
            <w:noWrap w:val="0"/>
            <w:vAlign w:val="center"/>
          </w:tcPr>
          <w:p w14:paraId="34893DFB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1.负责水利工程项目现场管理和过程控制，包括质量、安全、技术、进度、成本及协调管理等多个方面，确保项目顺利、安全、高质量完成；</w:t>
            </w:r>
          </w:p>
          <w:p w14:paraId="2AB9CD9E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2.负责对施工现场进行巡查，及时发现风险隐患并督促整改，确保文明环保施工；</w:t>
            </w:r>
          </w:p>
          <w:p w14:paraId="6A9B8F45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3.负责施工过程中的人材机等资源配置，负责变更、索赔、纠纷等的处理；</w:t>
            </w:r>
          </w:p>
          <w:p w14:paraId="114FCBD9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4.负责施工资料管理，包括施工图纸、施工记录、验收资料及技术文件的整理和归档。负责履行合同条款，参与工程款申报、审批和结算等；</w:t>
            </w:r>
          </w:p>
          <w:p w14:paraId="68CBFF2F">
            <w:pPr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5.完成上级安排的其他工作。</w:t>
            </w:r>
          </w:p>
        </w:tc>
        <w:tc>
          <w:tcPr>
            <w:tcW w:w="4166" w:type="dxa"/>
            <w:noWrap w:val="0"/>
            <w:vAlign w:val="center"/>
          </w:tcPr>
          <w:p w14:paraId="74B1A35E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1.大学本科及以上学历，</w:t>
            </w:r>
            <w:r>
              <w:rPr>
                <w:rFonts w:hint="eastAsia" w:eastAsia="宋体"/>
                <w:highlight w:val="none"/>
                <w:lang w:val="en-US" w:eastAsia="zh-CN"/>
              </w:rPr>
              <w:t>水利</w:t>
            </w:r>
            <w:r>
              <w:rPr>
                <w:rFonts w:hint="eastAsia"/>
                <w:highlight w:val="none"/>
                <w:lang w:val="en-US" w:eastAsia="zh-CN"/>
              </w:rPr>
              <w:t>类专业；</w:t>
            </w:r>
          </w:p>
          <w:p w14:paraId="18843A28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2.年龄40周岁及以下（截至公告发布当日）；</w:t>
            </w:r>
          </w:p>
          <w:p w14:paraId="1CBDB401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3.具有水利水电工程一级建造师职业资格证书、水利电力工程高级职称；</w:t>
            </w:r>
          </w:p>
          <w:p w14:paraId="2002D73C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4.累计8年以上水利工程现场管理工作经验，熟悉图纸审查、方案编审、质量控制等；</w:t>
            </w:r>
          </w:p>
          <w:p w14:paraId="5168961A">
            <w:pPr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5.熟悉国家及四川省水利工程相关法律法规、技术规范；</w:t>
            </w:r>
          </w:p>
          <w:p w14:paraId="36B1BCD7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6.具备良好的沟通协调和组织能力。</w:t>
            </w:r>
          </w:p>
        </w:tc>
        <w:tc>
          <w:tcPr>
            <w:tcW w:w="1063" w:type="dxa"/>
            <w:noWrap w:val="0"/>
            <w:vAlign w:val="center"/>
          </w:tcPr>
          <w:p w14:paraId="0BABE4EB">
            <w:pPr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13-16</w:t>
            </w:r>
          </w:p>
          <w:p w14:paraId="613F1AAE">
            <w:pPr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万元/年</w:t>
            </w:r>
          </w:p>
        </w:tc>
        <w:tc>
          <w:tcPr>
            <w:tcW w:w="706" w:type="dxa"/>
            <w:noWrap w:val="0"/>
            <w:vAlign w:val="center"/>
          </w:tcPr>
          <w:p w14:paraId="4084E05D">
            <w:pPr>
              <w:rPr>
                <w:rFonts w:hint="default" w:eastAsia="宋体"/>
                <w:highlight w:val="none"/>
                <w:lang w:val="en-US" w:eastAsia="zh-CN"/>
              </w:rPr>
            </w:pPr>
          </w:p>
        </w:tc>
      </w:tr>
    </w:tbl>
    <w:p w14:paraId="28D5931F">
      <w:pPr>
        <w:jc w:val="center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br w:type="page"/>
      </w:r>
    </w:p>
    <w:p w14:paraId="4A9CD20B">
      <w:pPr>
        <w:pStyle w:val="2"/>
        <w:rPr>
          <w:rFonts w:hint="eastAsia"/>
          <w:lang w:val="en-US" w:eastAsia="zh-CN"/>
        </w:rPr>
      </w:pPr>
    </w:p>
    <w:tbl>
      <w:tblPr>
        <w:tblStyle w:val="8"/>
        <w:tblW w:w="147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887"/>
        <w:gridCol w:w="1518"/>
        <w:gridCol w:w="806"/>
        <w:gridCol w:w="5074"/>
        <w:gridCol w:w="4166"/>
        <w:gridCol w:w="1063"/>
        <w:gridCol w:w="706"/>
      </w:tblGrid>
      <w:tr w14:paraId="3AFFE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8" w:hRule="atLeast"/>
          <w:jc w:val="center"/>
        </w:trPr>
        <w:tc>
          <w:tcPr>
            <w:tcW w:w="509" w:type="dxa"/>
            <w:noWrap w:val="0"/>
            <w:vAlign w:val="center"/>
          </w:tcPr>
          <w:p w14:paraId="1ABF8C47">
            <w:pPr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2</w:t>
            </w:r>
          </w:p>
        </w:tc>
        <w:tc>
          <w:tcPr>
            <w:tcW w:w="887" w:type="dxa"/>
            <w:noWrap w:val="0"/>
            <w:vAlign w:val="center"/>
          </w:tcPr>
          <w:p w14:paraId="5B1A754D">
            <w:pPr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岷江产业集团</w:t>
            </w:r>
          </w:p>
        </w:tc>
        <w:tc>
          <w:tcPr>
            <w:tcW w:w="1518" w:type="dxa"/>
            <w:noWrap w:val="0"/>
            <w:vAlign w:val="center"/>
          </w:tcPr>
          <w:p w14:paraId="6CA82442">
            <w:pPr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市政工程</w:t>
            </w:r>
          </w:p>
          <w:p w14:paraId="4CD18555">
            <w:pPr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专业技术人员</w:t>
            </w:r>
          </w:p>
        </w:tc>
        <w:tc>
          <w:tcPr>
            <w:tcW w:w="806" w:type="dxa"/>
            <w:noWrap w:val="0"/>
            <w:vAlign w:val="center"/>
          </w:tcPr>
          <w:p w14:paraId="32DA3AEC">
            <w:pPr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2</w:t>
            </w:r>
          </w:p>
        </w:tc>
        <w:tc>
          <w:tcPr>
            <w:tcW w:w="5074" w:type="dxa"/>
            <w:noWrap w:val="0"/>
            <w:vAlign w:val="center"/>
          </w:tcPr>
          <w:p w14:paraId="16F5312E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1.负责市政工程项目管理和过程控制，包括质量、安全、技术、进度、成本及协调管理等多个方面，确保项目顺利、安全、高质量完成；</w:t>
            </w:r>
          </w:p>
          <w:p w14:paraId="60815218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2.负责对施工现场进行巡查，及时发现风险隐患并督促整改，确保文明环保施工；</w:t>
            </w:r>
          </w:p>
          <w:p w14:paraId="2F5C1981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3.负责施工过程中的人材机等资源配置，负责变更、索赔、纠纷等的处理；</w:t>
            </w:r>
          </w:p>
          <w:p w14:paraId="1C948EF7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4.负责施工资料管理，包括施工图纸、施工记录、验收资料及技术文件的整理和归档。负责履行合同条款，参与工程款申报、审批和结算等；</w:t>
            </w:r>
          </w:p>
          <w:p w14:paraId="55945117">
            <w:pPr>
              <w:jc w:val="both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5.完成上级安排的其他工作。</w:t>
            </w:r>
          </w:p>
        </w:tc>
        <w:tc>
          <w:tcPr>
            <w:tcW w:w="4166" w:type="dxa"/>
            <w:noWrap w:val="0"/>
            <w:vAlign w:val="center"/>
          </w:tcPr>
          <w:p w14:paraId="547B9B78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1.大学本科及以上学历，土木类、建筑类专业；</w:t>
            </w:r>
          </w:p>
          <w:p w14:paraId="4C14807D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2.年龄35周岁及以下（截至公告发布当日）；</w:t>
            </w:r>
          </w:p>
          <w:p w14:paraId="1D1FC296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3.具有市政公用工程一级建造师职业资格证书或建设工程中级职称；</w:t>
            </w:r>
          </w:p>
          <w:p w14:paraId="0A9E5C69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4.累计5年以上市政工程技术管理工作经验，熟悉图纸审查、方案编审、质量控制等；</w:t>
            </w:r>
          </w:p>
          <w:p w14:paraId="4FCEF79F">
            <w:pPr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5.熟悉国家及四川省房屋市政工程相关法律法规、技术规范；</w:t>
            </w:r>
          </w:p>
          <w:p w14:paraId="31CBA3AF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6.具备良好的沟通协调和组织能力。</w:t>
            </w:r>
          </w:p>
        </w:tc>
        <w:tc>
          <w:tcPr>
            <w:tcW w:w="1063" w:type="dxa"/>
            <w:noWrap w:val="0"/>
            <w:vAlign w:val="center"/>
          </w:tcPr>
          <w:p w14:paraId="12D0A2B2">
            <w:pPr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11-14</w:t>
            </w:r>
          </w:p>
          <w:p w14:paraId="301E1AF6">
            <w:pPr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万元/年</w:t>
            </w:r>
          </w:p>
        </w:tc>
        <w:tc>
          <w:tcPr>
            <w:tcW w:w="706" w:type="dxa"/>
            <w:noWrap w:val="0"/>
            <w:vAlign w:val="center"/>
          </w:tcPr>
          <w:p w14:paraId="0BE1121D">
            <w:pPr>
              <w:rPr>
                <w:rFonts w:hint="default"/>
                <w:highlight w:val="none"/>
                <w:lang w:val="en-US" w:eastAsia="zh-CN"/>
              </w:rPr>
            </w:pPr>
          </w:p>
        </w:tc>
      </w:tr>
      <w:tr w14:paraId="6F808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7" w:hRule="atLeast"/>
          <w:jc w:val="center"/>
        </w:trPr>
        <w:tc>
          <w:tcPr>
            <w:tcW w:w="509" w:type="dxa"/>
            <w:noWrap w:val="0"/>
            <w:vAlign w:val="center"/>
          </w:tcPr>
          <w:p w14:paraId="1ED78E2E">
            <w:pPr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3</w:t>
            </w:r>
          </w:p>
        </w:tc>
        <w:tc>
          <w:tcPr>
            <w:tcW w:w="887" w:type="dxa"/>
            <w:noWrap w:val="0"/>
            <w:vAlign w:val="center"/>
          </w:tcPr>
          <w:p w14:paraId="07BD00AD">
            <w:pPr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岷江产业集团</w:t>
            </w:r>
          </w:p>
        </w:tc>
        <w:tc>
          <w:tcPr>
            <w:tcW w:w="1518" w:type="dxa"/>
            <w:noWrap w:val="0"/>
            <w:vAlign w:val="center"/>
          </w:tcPr>
          <w:p w14:paraId="127E598C">
            <w:pPr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房建工程</w:t>
            </w:r>
          </w:p>
          <w:p w14:paraId="3FD490DC">
            <w:pPr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专业技术人员</w:t>
            </w:r>
          </w:p>
        </w:tc>
        <w:tc>
          <w:tcPr>
            <w:tcW w:w="806" w:type="dxa"/>
            <w:noWrap w:val="0"/>
            <w:vAlign w:val="center"/>
          </w:tcPr>
          <w:p w14:paraId="0A0670C0">
            <w:pPr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</w:t>
            </w:r>
          </w:p>
        </w:tc>
        <w:tc>
          <w:tcPr>
            <w:tcW w:w="5074" w:type="dxa"/>
            <w:noWrap w:val="0"/>
            <w:vAlign w:val="center"/>
          </w:tcPr>
          <w:p w14:paraId="2A7D1196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1.负责房建工程项目现场管理和过程控制，包括质量、安全、技术、进度、成本及协调管理等多个方面，确保项目顺利、安全、高质量完成；</w:t>
            </w:r>
          </w:p>
          <w:p w14:paraId="232F6A8F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2.负责对施工现场进行巡查，及时发现风险隐患并督促整改，确保文明环保施工；</w:t>
            </w:r>
          </w:p>
          <w:p w14:paraId="7502F51D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3.负责施工过程中的人材机等资源配置，负责变更、索赔、纠纷等的处理；</w:t>
            </w:r>
          </w:p>
          <w:p w14:paraId="1F03E46A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4.负责施工资料管理，包括施工图纸、施工记录、验收资料及技术文件的整理和归档。负责履行合同条款，参与工程款申报、审批和结算等；</w:t>
            </w:r>
          </w:p>
          <w:p w14:paraId="3D135DE8">
            <w:pPr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5.完成上级安排的其他工作。</w:t>
            </w:r>
          </w:p>
        </w:tc>
        <w:tc>
          <w:tcPr>
            <w:tcW w:w="4166" w:type="dxa"/>
            <w:noWrap w:val="0"/>
            <w:vAlign w:val="center"/>
          </w:tcPr>
          <w:p w14:paraId="7F0C8A5D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1.大学本科及以上学历，</w:t>
            </w:r>
            <w:r>
              <w:rPr>
                <w:rFonts w:hint="eastAsia" w:eastAsia="宋体"/>
                <w:highlight w:val="none"/>
                <w:lang w:val="en-US" w:eastAsia="zh-CN"/>
              </w:rPr>
              <w:t>土木工程、建筑学、工程管理</w:t>
            </w:r>
            <w:r>
              <w:rPr>
                <w:rFonts w:hint="eastAsia"/>
                <w:highlight w:val="none"/>
                <w:lang w:val="en-US" w:eastAsia="zh-CN"/>
              </w:rPr>
              <w:t>专业；</w:t>
            </w:r>
          </w:p>
          <w:p w14:paraId="7210AD91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2.年龄35周岁及以下（截至公告发布当日）；</w:t>
            </w:r>
          </w:p>
          <w:p w14:paraId="2FD83D29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3.具有建筑工程一级建造师职业资格证书、建设工程中级职称；</w:t>
            </w:r>
          </w:p>
          <w:p w14:paraId="28F8AFFC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4.累计5年以上房建工程现场管理工作经验，熟悉进度、质量、安全控制等；</w:t>
            </w:r>
          </w:p>
          <w:p w14:paraId="4D56A437">
            <w:pPr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5.熟悉国家及四川省房屋市政工程相关法律法规、技术规范；</w:t>
            </w:r>
          </w:p>
          <w:p w14:paraId="0622115E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6.具备良好的沟通协调和组织能力。</w:t>
            </w:r>
          </w:p>
        </w:tc>
        <w:tc>
          <w:tcPr>
            <w:tcW w:w="1063" w:type="dxa"/>
            <w:noWrap w:val="0"/>
            <w:vAlign w:val="center"/>
          </w:tcPr>
          <w:p w14:paraId="415CCB69">
            <w:pPr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11-14</w:t>
            </w:r>
          </w:p>
          <w:p w14:paraId="5177CC3E">
            <w:pPr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万元/年</w:t>
            </w:r>
          </w:p>
        </w:tc>
        <w:tc>
          <w:tcPr>
            <w:tcW w:w="706" w:type="dxa"/>
            <w:noWrap w:val="0"/>
            <w:vAlign w:val="center"/>
          </w:tcPr>
          <w:p w14:paraId="6CDDEB94">
            <w:pPr>
              <w:rPr>
                <w:rFonts w:hint="default" w:eastAsia="宋体"/>
                <w:highlight w:val="none"/>
                <w:lang w:val="en-US" w:eastAsia="zh-CN"/>
              </w:rPr>
            </w:pPr>
          </w:p>
        </w:tc>
      </w:tr>
    </w:tbl>
    <w:p w14:paraId="4C0B8DB9">
      <w:pPr>
        <w:jc w:val="center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br w:type="page"/>
      </w:r>
    </w:p>
    <w:p w14:paraId="0404C473">
      <w:pPr>
        <w:pStyle w:val="2"/>
        <w:rPr>
          <w:rFonts w:hint="eastAsia"/>
          <w:lang w:val="en-US" w:eastAsia="zh-CN"/>
        </w:rPr>
      </w:pPr>
    </w:p>
    <w:tbl>
      <w:tblPr>
        <w:tblStyle w:val="8"/>
        <w:tblW w:w="147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887"/>
        <w:gridCol w:w="1518"/>
        <w:gridCol w:w="806"/>
        <w:gridCol w:w="5074"/>
        <w:gridCol w:w="4166"/>
        <w:gridCol w:w="1063"/>
        <w:gridCol w:w="706"/>
      </w:tblGrid>
      <w:tr w14:paraId="2E479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  <w:jc w:val="center"/>
        </w:trPr>
        <w:tc>
          <w:tcPr>
            <w:tcW w:w="509" w:type="dxa"/>
            <w:noWrap w:val="0"/>
            <w:vAlign w:val="center"/>
          </w:tcPr>
          <w:p w14:paraId="584A53BC">
            <w:pPr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4</w:t>
            </w:r>
          </w:p>
        </w:tc>
        <w:tc>
          <w:tcPr>
            <w:tcW w:w="887" w:type="dxa"/>
            <w:noWrap w:val="0"/>
            <w:vAlign w:val="center"/>
          </w:tcPr>
          <w:p w14:paraId="7909BC48">
            <w:pPr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岷江产业集团</w:t>
            </w:r>
          </w:p>
        </w:tc>
        <w:tc>
          <w:tcPr>
            <w:tcW w:w="1518" w:type="dxa"/>
            <w:noWrap w:val="0"/>
            <w:vAlign w:val="center"/>
          </w:tcPr>
          <w:p w14:paraId="2610D29D">
            <w:pPr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安全管理</w:t>
            </w:r>
          </w:p>
          <w:p w14:paraId="3A0E7907">
            <w:pPr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专业技术人员</w:t>
            </w:r>
          </w:p>
        </w:tc>
        <w:tc>
          <w:tcPr>
            <w:tcW w:w="806" w:type="dxa"/>
            <w:noWrap w:val="0"/>
            <w:vAlign w:val="center"/>
          </w:tcPr>
          <w:p w14:paraId="65E47753">
            <w:pPr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</w:t>
            </w:r>
          </w:p>
        </w:tc>
        <w:tc>
          <w:tcPr>
            <w:tcW w:w="5074" w:type="dxa"/>
            <w:noWrap w:val="0"/>
            <w:vAlign w:val="center"/>
          </w:tcPr>
          <w:p w14:paraId="721A047E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1.负责编制和审查项目安全策划书，并组织实施；</w:t>
            </w:r>
          </w:p>
          <w:p w14:paraId="728D5452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2.组织开展安全教育培训、隐患排查、安全风险分级管控；</w:t>
            </w:r>
          </w:p>
          <w:p w14:paraId="12392FB2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3.负责组织编制应急预案，定期开展应急演练；</w:t>
            </w:r>
          </w:p>
          <w:p w14:paraId="62CDB0BA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4.负责危险作业安全管理相关工作；</w:t>
            </w:r>
          </w:p>
          <w:p w14:paraId="3024F254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5.负责项目现场安全管理，统筹作业安全、职业健康、文明环保施工等；</w:t>
            </w:r>
          </w:p>
          <w:p w14:paraId="5E03A53C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6.完成上级安排的其他工作。</w:t>
            </w:r>
          </w:p>
        </w:tc>
        <w:tc>
          <w:tcPr>
            <w:tcW w:w="4166" w:type="dxa"/>
            <w:noWrap w:val="0"/>
            <w:vAlign w:val="center"/>
          </w:tcPr>
          <w:p w14:paraId="5351509D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1.大学本科及以上学历，安全工程、应急技术与管理专业或土木类、建筑类专业；</w:t>
            </w:r>
          </w:p>
          <w:p w14:paraId="3D487C9B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2.年龄35周岁及以下（截至公告发布当日）；</w:t>
            </w:r>
          </w:p>
          <w:p w14:paraId="36C1FBA4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3.具有建设工程中级职称、建安C证；</w:t>
            </w:r>
          </w:p>
          <w:p w14:paraId="35979204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4.累计5年以上房建、市政工程安全管理工作经验，熟悉安全隐患排查、危险源分级管控等；</w:t>
            </w:r>
          </w:p>
          <w:p w14:paraId="2C4D5A83">
            <w:pPr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5.熟悉国家及四川省房屋市政工程相关法律法规、技术规范；</w:t>
            </w:r>
          </w:p>
          <w:p w14:paraId="70265EB2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6.具备良好的沟通协调和组织能力、写作能力。</w:t>
            </w:r>
          </w:p>
        </w:tc>
        <w:tc>
          <w:tcPr>
            <w:tcW w:w="1063" w:type="dxa"/>
            <w:noWrap w:val="0"/>
            <w:vAlign w:val="center"/>
          </w:tcPr>
          <w:p w14:paraId="3F5F553F">
            <w:pPr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11-14</w:t>
            </w:r>
          </w:p>
          <w:p w14:paraId="5A67A46E">
            <w:pPr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万元/年</w:t>
            </w:r>
          </w:p>
        </w:tc>
        <w:tc>
          <w:tcPr>
            <w:tcW w:w="706" w:type="dxa"/>
            <w:noWrap w:val="0"/>
            <w:vAlign w:val="center"/>
          </w:tcPr>
          <w:p w14:paraId="25526EC6">
            <w:pPr>
              <w:rPr>
                <w:highlight w:val="none"/>
              </w:rPr>
            </w:pPr>
          </w:p>
        </w:tc>
      </w:tr>
      <w:tr w14:paraId="3F3D5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5" w:hRule="atLeast"/>
          <w:jc w:val="center"/>
        </w:trPr>
        <w:tc>
          <w:tcPr>
            <w:tcW w:w="509" w:type="dxa"/>
            <w:noWrap w:val="0"/>
            <w:vAlign w:val="center"/>
          </w:tcPr>
          <w:p w14:paraId="76B14925">
            <w:pPr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5</w:t>
            </w:r>
          </w:p>
        </w:tc>
        <w:tc>
          <w:tcPr>
            <w:tcW w:w="887" w:type="dxa"/>
            <w:noWrap w:val="0"/>
            <w:vAlign w:val="center"/>
          </w:tcPr>
          <w:p w14:paraId="1C19205A">
            <w:pPr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岷江产业集团</w:t>
            </w:r>
          </w:p>
        </w:tc>
        <w:tc>
          <w:tcPr>
            <w:tcW w:w="1518" w:type="dxa"/>
            <w:noWrap w:val="0"/>
            <w:vAlign w:val="center"/>
          </w:tcPr>
          <w:p w14:paraId="6030E9BE">
            <w:pPr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造价管理</w:t>
            </w:r>
          </w:p>
          <w:p w14:paraId="36BA6F74">
            <w:pPr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专业技术人员</w:t>
            </w:r>
          </w:p>
        </w:tc>
        <w:tc>
          <w:tcPr>
            <w:tcW w:w="806" w:type="dxa"/>
            <w:noWrap w:val="0"/>
            <w:vAlign w:val="center"/>
          </w:tcPr>
          <w:p w14:paraId="5D69B5CA">
            <w:pPr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2</w:t>
            </w:r>
          </w:p>
        </w:tc>
        <w:tc>
          <w:tcPr>
            <w:tcW w:w="5074" w:type="dxa"/>
            <w:noWrap w:val="0"/>
            <w:vAlign w:val="center"/>
          </w:tcPr>
          <w:p w14:paraId="181B73B8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1.负责项目合同管理、成本管理与费用控制；</w:t>
            </w:r>
          </w:p>
          <w:p w14:paraId="47D80520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2.负责项目预结算，负责组织编制施工图预算；</w:t>
            </w:r>
          </w:p>
          <w:p w14:paraId="648B7FC8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3.负责项目概预算、过程报量及确权收款、索赔、工程统计等；</w:t>
            </w:r>
          </w:p>
          <w:p w14:paraId="6682E692">
            <w:pPr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4.负责招投标工作；</w:t>
            </w:r>
          </w:p>
          <w:p w14:paraId="5C797A19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5.完成上级安排的其他工作。</w:t>
            </w:r>
          </w:p>
        </w:tc>
        <w:tc>
          <w:tcPr>
            <w:tcW w:w="4166" w:type="dxa"/>
            <w:noWrap w:val="0"/>
            <w:vAlign w:val="center"/>
          </w:tcPr>
          <w:p w14:paraId="33FE47A8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1.大学本科及以上学历，工程造价、工程管理专业或土木类、建筑类专业；</w:t>
            </w:r>
          </w:p>
          <w:p w14:paraId="5CB17835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2.年龄35周岁及以下（截至公告发布当日）；</w:t>
            </w:r>
          </w:p>
          <w:p w14:paraId="290D0700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3.具有二级造价工程师职业资格证书、建设工程中级职称；</w:t>
            </w:r>
          </w:p>
          <w:p w14:paraId="236E1D59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4.累计5年以上房建、市政工程预结算管理工作经验，熟悉预算清单编制、定额等；</w:t>
            </w:r>
          </w:p>
          <w:p w14:paraId="711A57F4">
            <w:pPr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5.熟悉国家及四川省房屋市政工程相关法律法规、技术规范；</w:t>
            </w:r>
          </w:p>
          <w:p w14:paraId="6275C2A8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6.具备良好的沟通协调和写作能力。</w:t>
            </w:r>
          </w:p>
        </w:tc>
        <w:tc>
          <w:tcPr>
            <w:tcW w:w="1063" w:type="dxa"/>
            <w:noWrap w:val="0"/>
            <w:vAlign w:val="center"/>
          </w:tcPr>
          <w:p w14:paraId="693DF4EC">
            <w:pPr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11-14</w:t>
            </w:r>
          </w:p>
          <w:p w14:paraId="26BD8DD0">
            <w:pPr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万元/年</w:t>
            </w:r>
          </w:p>
        </w:tc>
        <w:tc>
          <w:tcPr>
            <w:tcW w:w="706" w:type="dxa"/>
            <w:noWrap w:val="0"/>
            <w:vAlign w:val="center"/>
          </w:tcPr>
          <w:p w14:paraId="60EA0BB7">
            <w:pPr>
              <w:rPr>
                <w:highlight w:val="none"/>
              </w:rPr>
            </w:pPr>
          </w:p>
        </w:tc>
      </w:tr>
    </w:tbl>
    <w:p w14:paraId="6BFD43E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F2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spacing w:line="360" w:lineRule="auto"/>
      <w:ind w:firstLine="471"/>
    </w:pPr>
    <w:rPr>
      <w:rFonts w:ascii="宋体"/>
      <w:sz w:val="24"/>
    </w:rPr>
  </w:style>
  <w:style w:type="paragraph" w:styleId="3">
    <w:name w:val="Body Text Indent"/>
    <w:basedOn w:val="1"/>
    <w:qFormat/>
    <w:uiPriority w:val="0"/>
    <w:pPr>
      <w:ind w:firstLine="420" w:firstLineChars="200"/>
    </w:pPr>
  </w:style>
  <w:style w:type="paragraph" w:styleId="4">
    <w:name w:val="Body Text First Indent"/>
    <w:basedOn w:val="5"/>
    <w:unhideWhenUsed/>
    <w:qFormat/>
    <w:uiPriority w:val="99"/>
    <w:pPr>
      <w:ind w:firstLine="420" w:firstLineChars="100"/>
    </w:pPr>
  </w:style>
  <w:style w:type="paragraph" w:styleId="5">
    <w:name w:val="Body Text"/>
    <w:basedOn w:val="1"/>
    <w:next w:val="6"/>
    <w:unhideWhenUsed/>
    <w:qFormat/>
    <w:uiPriority w:val="99"/>
    <w:rPr>
      <w:sz w:val="32"/>
    </w:rPr>
  </w:style>
  <w:style w:type="paragraph" w:styleId="6">
    <w:name w:val="Body Text 2"/>
    <w:basedOn w:val="1"/>
    <w:qFormat/>
    <w:uiPriority w:val="0"/>
    <w:pPr>
      <w:spacing w:line="520" w:lineRule="exact"/>
      <w:jc w:val="center"/>
    </w:pPr>
    <w:rPr>
      <w:rFonts w:eastAsia="方正小标宋简体"/>
      <w:sz w:val="44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2026-07-03T06:27:55Z</dcterms:created>
  <dc:creator>Administrator</dc:creator>
  <cp:lastModifiedBy>白林</cp:lastModifiedBy>
  <dcterms:modified xsi:type="dcterms:W3CDTF">2026-07-03T06:28:07Z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eyJoZGlkIjoiMzE0NWMxODc5Mjg0MTMxYWQ1ODM0MWUxNGMwYzdkOGIiLCJ1c2VySWQiOiIxNDc1NjUzNjcwIn0=</vt:lpwstr>
  </property>
  <property fmtid="{D5CDD505-2E9C-101B-9397-08002B2CF9AE}" pid="4" name="ICV">
    <vt:lpwstr>59F84344496744A08D6EE1BD98D04CCF_12</vt:lpwstr>
  </property>
</Properties>
</file>